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759B" w14:textId="77777777" w:rsidR="004B5D11" w:rsidRDefault="00EB6D77">
      <w:pPr>
        <w:spacing w:before="480" w:after="60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CONVENCIÓN SOBRE LOS DERECHOS DE LAS PERSONAS CON DISCAPACIDAD</w:t>
      </w:r>
    </w:p>
    <w:p w14:paraId="4C799DD7" w14:textId="7934FE00" w:rsidR="004B5D11" w:rsidRDefault="00EB6D77">
      <w:pPr>
        <w:spacing w:line="36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¿Qué es?:</w:t>
      </w:r>
    </w:p>
    <w:p w14:paraId="70A91579" w14:textId="77777777" w:rsidR="004B5D11" w:rsidRDefault="00EB6D77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La Convención sobre los derechos de las personas con discapacidad consiste en un tratado firmado por muchos países que busca proteger y promover los derechos de </w:t>
      </w:r>
      <w:r>
        <w:rPr>
          <w:rFonts w:ascii="Arial" w:eastAsia="Arial" w:hAnsi="Arial" w:cs="Arial"/>
          <w:sz w:val="24"/>
          <w:szCs w:val="24"/>
          <w:highlight w:val="white"/>
        </w:rPr>
        <w:t>las personas con discapacidad. Si bien de esta forma se plantea un verdadero cambio de paradigma basado en múltiples principios, la autonomía es la base principal de todas las normativas.</w:t>
      </w:r>
    </w:p>
    <w:p w14:paraId="21A9B107" w14:textId="77777777" w:rsidR="004B5D11" w:rsidRDefault="00EB6D77">
      <w:pPr>
        <w:spacing w:after="60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 marco del tratado, se llevaron adelante debates en los que man</w:t>
      </w:r>
      <w:r>
        <w:rPr>
          <w:rFonts w:ascii="Arial" w:eastAsia="Arial" w:hAnsi="Arial" w:cs="Arial"/>
          <w:sz w:val="24"/>
          <w:szCs w:val="24"/>
        </w:rPr>
        <w:t>ifestaron su postura diversos expertos, movimientos vinculados con la atención de la salud mental y, por supuesto, las personas con discapacidad y sus familias.</w:t>
      </w:r>
    </w:p>
    <w:p w14:paraId="05F92CF1" w14:textId="77777777" w:rsidR="004B5D11" w:rsidRDefault="00EB6D77">
      <w:pPr>
        <w:spacing w:line="36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Recorrido histórico-legal: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0B9C0A" wp14:editId="7F7EB083">
            <wp:simplePos x="0" y="0"/>
            <wp:positionH relativeFrom="column">
              <wp:posOffset>3668859</wp:posOffset>
            </wp:positionH>
            <wp:positionV relativeFrom="paragraph">
              <wp:posOffset>364594</wp:posOffset>
            </wp:positionV>
            <wp:extent cx="2617470" cy="1480185"/>
            <wp:effectExtent l="0" t="0" r="0" b="0"/>
            <wp:wrapSquare wrapText="bothSides" distT="0" distB="0" distL="114300" distR="11430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480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3DD365" w14:textId="77777777" w:rsidR="004B5D11" w:rsidRDefault="00EB6D77">
      <w:pPr>
        <w:spacing w:after="60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Fue sancionada por la Asamblea General de las Naciones Unidas en 20</w:t>
      </w:r>
      <w:r>
        <w:rPr>
          <w:rFonts w:ascii="Arial" w:eastAsia="Arial" w:hAnsi="Arial" w:cs="Arial"/>
          <w:sz w:val="24"/>
          <w:szCs w:val="24"/>
        </w:rPr>
        <w:t>06 y la República Argentina suscribió a la Convención en el año 2007. Entró en vigor el 03/05/2008 y fue a</w:t>
      </w:r>
      <w:r>
        <w:rPr>
          <w:rFonts w:ascii="Arial" w:eastAsia="Arial" w:hAnsi="Arial" w:cs="Arial"/>
          <w:sz w:val="24"/>
          <w:szCs w:val="24"/>
          <w:highlight w:val="white"/>
        </w:rPr>
        <w:t>probada por el Congreso de la Nación por Ley 26.378, sancionada el 21 de mayo de 2008.</w:t>
      </w:r>
    </w:p>
    <w:p w14:paraId="35E3AC39" w14:textId="77777777" w:rsidR="004B5D11" w:rsidRDefault="00EB6D77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¿Cuáles son los puntos clave de la Convención?:</w:t>
      </w:r>
    </w:p>
    <w:p w14:paraId="7A52DB13" w14:textId="77777777" w:rsidR="004B5D11" w:rsidRDefault="00EB6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</w:t>
      </w:r>
      <w:r>
        <w:rPr>
          <w:rFonts w:ascii="Arial" w:eastAsia="Arial" w:hAnsi="Arial" w:cs="Arial"/>
          <w:color w:val="000000"/>
          <w:sz w:val="24"/>
          <w:szCs w:val="24"/>
        </w:rPr>
        <w:t>personas con discapacidad se consideran sujetos activos y de derecho.</w:t>
      </w:r>
    </w:p>
    <w:p w14:paraId="57AB55F9" w14:textId="77777777" w:rsidR="004B5D11" w:rsidRDefault="00EB6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enfoque de la discapacidad se basa en el modelo social.</w:t>
      </w:r>
    </w:p>
    <w:p w14:paraId="630E04DA" w14:textId="77777777" w:rsidR="004B5D11" w:rsidRDefault="00EB6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Los principios son formulados desde la perspectiva de derechos.</w:t>
      </w:r>
    </w:p>
    <w:p w14:paraId="2BDCFF68" w14:textId="77777777" w:rsidR="004B5D11" w:rsidRDefault="00EB6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Los apoyos de la persona con discapacidad se </w:t>
      </w:r>
      <w:r>
        <w:rPr>
          <w:rFonts w:ascii="Arial" w:eastAsia="Arial" w:hAnsi="Arial" w:cs="Arial"/>
          <w:color w:val="000000"/>
          <w:sz w:val="24"/>
          <w:szCs w:val="24"/>
        </w:rPr>
        <w:t>consideran facilitadores para la toma de decisiones y para generar autonomía.</w:t>
      </w:r>
    </w:p>
    <w:p w14:paraId="583EF4F3" w14:textId="77777777" w:rsidR="004B5D11" w:rsidRDefault="00EB6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aborda el derecho de la persona con discapacidad a vivir de forma independiente y a ser incluida en la comunidad.</w:t>
      </w:r>
    </w:p>
    <w:p w14:paraId="0247E2A7" w14:textId="77777777" w:rsidR="004B5D11" w:rsidRDefault="00EB6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incluye el derecho de la persona con discapacidad a contar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 servicios de asistencia, instalaciones y servicios accesibles.</w:t>
      </w:r>
    </w:p>
    <w:p w14:paraId="1ACEC203" w14:textId="77777777" w:rsidR="004B5D11" w:rsidRDefault="00EB6D77">
      <w:pPr>
        <w:spacing w:after="60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0ACDD76" wp14:editId="42B8C2DF">
            <wp:extent cx="5306800" cy="2756837"/>
            <wp:effectExtent l="0" t="0" r="0" b="0"/>
            <wp:docPr id="4" name="image4.png" descr="Imagen de hilos de distintos colores entrelazados entre sí, formando un corazó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n de hilos de distintos colores entrelazados entre sí, formando un corazón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6800" cy="2756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F5C06B" w14:textId="77777777" w:rsidR="004B5D11" w:rsidRDefault="00EB6D77">
      <w:pPr>
        <w:spacing w:after="60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Además, se enfatiza la importancia de eliminar aquellas barreras que impiden la participación plena y efectiva de las personas con discapacidad en los distintos espacios sociales. Por ot</w:t>
      </w:r>
      <w:r>
        <w:rPr>
          <w:rFonts w:ascii="Arial" w:eastAsia="Arial" w:hAnsi="Arial" w:cs="Arial"/>
          <w:sz w:val="24"/>
          <w:szCs w:val="24"/>
        </w:rPr>
        <w:t xml:space="preserve">ro lado, se plantean mecanismos para que los derechos reconocidos sean respetados y para que sea posible efectuar un seguimiento y realizar reclamos, en caso de que sea necesario. </w:t>
      </w:r>
    </w:p>
    <w:p w14:paraId="56E36C63" w14:textId="77777777" w:rsidR="004B5D11" w:rsidRDefault="00EB6D77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Hogar y familia: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518B808" wp14:editId="6058EEA2">
            <wp:simplePos x="0" y="0"/>
            <wp:positionH relativeFrom="column">
              <wp:posOffset>-49880</wp:posOffset>
            </wp:positionH>
            <wp:positionV relativeFrom="paragraph">
              <wp:posOffset>367665</wp:posOffset>
            </wp:positionV>
            <wp:extent cx="2128520" cy="1712595"/>
            <wp:effectExtent l="0" t="0" r="0" b="0"/>
            <wp:wrapSquare wrapText="bothSides" distT="0" distB="0" distL="114300" distR="114300"/>
            <wp:docPr id="2" name="image2.png" descr="Mano dibujando una casa, con una tiza en un pizarró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no dibujando una casa, con una tiza en un pizarrón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71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C1EF8C" w14:textId="77777777" w:rsidR="004B5D11" w:rsidRDefault="00EB6D7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explicita el derecho al apoyo en la crianza, el derech</w:t>
      </w:r>
      <w:r>
        <w:rPr>
          <w:rFonts w:ascii="Arial" w:eastAsia="Arial" w:hAnsi="Arial" w:cs="Arial"/>
          <w:sz w:val="24"/>
          <w:szCs w:val="24"/>
        </w:rPr>
        <w:t>o de las infancias a vivir en familia y a que no se intervenga en su fertilidad. Las cuestiones relacionadas con el matrimonio, la familia, la paternidad/maternidad y las relaciones personales no deben ser motivo de discriminación.</w:t>
      </w:r>
    </w:p>
    <w:p w14:paraId="440FC90B" w14:textId="77777777" w:rsidR="004B5D11" w:rsidRDefault="004B5D11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CA07627" w14:textId="01013041" w:rsidR="004B5D11" w:rsidRDefault="004B5D11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5A4D09B" w14:textId="3EE39D7B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3D1D4E7D" w14:textId="2858E8A1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5E12C72" w14:textId="5A7307F3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A04DCE8" w14:textId="779B6BC5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0826D50" w14:textId="46A85C92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43F423F5" w14:textId="08143C75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B600ECD" w14:textId="7F248E15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386BC400" w14:textId="194AFDF5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CFD5E31" w14:textId="77777777" w:rsidR="001362DC" w:rsidRDefault="001362DC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2E170C4" w14:textId="77777777" w:rsidR="004B5D11" w:rsidRDefault="00EB6D77" w:rsidP="001362DC">
      <w:pPr>
        <w:spacing w:line="36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Si le interesa conocer más sobre el evento y el Proyecto de Voluntariado Universitario, puede acceder a la siguiente nota: </w:t>
      </w:r>
      <w:hyperlink r:id="rId10">
        <w:r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https://www.unlam.edu.ar/index.php?sec</w:t>
        </w:r>
        <w:r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cion=-1&amp;accion=difusion&amp;idNoticia=10377</w:t>
        </w:r>
      </w:hyperlink>
    </w:p>
    <w:p w14:paraId="3DAFC454" w14:textId="77777777" w:rsidR="004B5D11" w:rsidRDefault="004B5D11" w:rsidP="001362DC">
      <w:pPr>
        <w:spacing w:line="36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sectPr w:rsidR="004B5D11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DF7A" w14:textId="77777777" w:rsidR="00B448F0" w:rsidRDefault="00B448F0">
      <w:pPr>
        <w:spacing w:after="0" w:line="240" w:lineRule="auto"/>
      </w:pPr>
      <w:r>
        <w:separator/>
      </w:r>
    </w:p>
  </w:endnote>
  <w:endnote w:type="continuationSeparator" w:id="0">
    <w:p w14:paraId="2213817D" w14:textId="77777777" w:rsidR="00B448F0" w:rsidRDefault="00B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2DE1" w14:textId="77777777" w:rsidR="00B448F0" w:rsidRDefault="00B448F0">
      <w:pPr>
        <w:spacing w:after="0" w:line="240" w:lineRule="auto"/>
      </w:pPr>
      <w:r>
        <w:separator/>
      </w:r>
    </w:p>
  </w:footnote>
  <w:footnote w:type="continuationSeparator" w:id="0">
    <w:p w14:paraId="7C56A215" w14:textId="77777777" w:rsidR="00B448F0" w:rsidRDefault="00B4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CB1" w14:textId="77777777" w:rsidR="004B5D11" w:rsidRDefault="00EB6D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Material sobre el primer evento del proyecto “Agenda de discapacidad”, realizado el 04/05/2022 en el Salón de las Américas.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C29F93E" wp14:editId="314B941E">
          <wp:simplePos x="0" y="0"/>
          <wp:positionH relativeFrom="column">
            <wp:posOffset>3881755</wp:posOffset>
          </wp:positionH>
          <wp:positionV relativeFrom="paragraph">
            <wp:posOffset>-192404</wp:posOffset>
          </wp:positionV>
          <wp:extent cx="1518285" cy="1193800"/>
          <wp:effectExtent l="0" t="0" r="0" b="0"/>
          <wp:wrapSquare wrapText="bothSides" distT="0" distB="0" distL="114300" distR="114300"/>
          <wp:docPr id="3" name="image3.png" descr="Logo del proyecto &quot;Agenda de discapacidad&quot;. En el centro se encuentra el logo de accesibilidad y alrededor distintas imágenes: Un certificado, una manzana, una cabeza con una lamparita en su interior, una persona con bastón, una pelota y una balanza de justicia legal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del proyecto &quot;Agenda de discapacidad&quot;. En el centro se encuentra el logo de accesibilidad y alrededor distintas imágenes: Un certificado, una manzana, una cabeza con una lamparita en su interior, una persona con bastón, una pelota y una balanza de justicia legal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285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C4EFC" w14:textId="77777777" w:rsidR="004B5D11" w:rsidRDefault="00EB6D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Moderadora: Lic. María Luciana Arauz.</w:t>
    </w:r>
  </w:p>
  <w:p w14:paraId="000F0DD7" w14:textId="77777777" w:rsidR="004B5D11" w:rsidRDefault="00EB6D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Estudiantes: Candela Baldo, Malena Dionicio y Johanna Belén Mena.</w:t>
    </w:r>
  </w:p>
  <w:p w14:paraId="5C92A0FC" w14:textId="77777777" w:rsidR="004B5D11" w:rsidRDefault="004B5D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4956"/>
    <w:multiLevelType w:val="multilevel"/>
    <w:tmpl w:val="4D9A5D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245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11"/>
    <w:rsid w:val="001362DC"/>
    <w:rsid w:val="004B5D11"/>
    <w:rsid w:val="008D6E73"/>
    <w:rsid w:val="00B448F0"/>
    <w:rsid w:val="00E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BAB8B"/>
  <w15:docId w15:val="{9C2418F2-5152-4AAB-801C-5DD1124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D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E73"/>
  </w:style>
  <w:style w:type="paragraph" w:styleId="Piedepgina">
    <w:name w:val="footer"/>
    <w:basedOn w:val="Normal"/>
    <w:link w:val="PiedepginaCar"/>
    <w:uiPriority w:val="99"/>
    <w:unhideWhenUsed/>
    <w:rsid w:val="008D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lam.edu.ar/index.php?seccion=-1&amp;accion=difusion&amp;idNoticia=103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2148</Characters>
  <Application>Microsoft Office Word</Application>
  <DocSecurity>2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Convención sobre los derechos de las personas con discapacidad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sobre los derechos de las personas con discapacidad</dc:title>
  <dc:creator>Malena</dc:creator>
  <cp:keywords>Discapacidad-Convención-Derechos</cp:keywords>
  <cp:lastModifiedBy>Pamela Hosman</cp:lastModifiedBy>
  <cp:revision>2</cp:revision>
  <dcterms:created xsi:type="dcterms:W3CDTF">2022-11-10T14:49:00Z</dcterms:created>
  <dcterms:modified xsi:type="dcterms:W3CDTF">2022-11-10T14:49:00Z</dcterms:modified>
</cp:coreProperties>
</file>